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</w:t>
      </w:r>
      <w:proofErr w:type="spellStart"/>
      <w:r w:rsidR="005D5557" w:rsidRPr="00125485">
        <w:rPr>
          <w:b/>
          <w:sz w:val="28"/>
          <w:szCs w:val="28"/>
        </w:rPr>
        <w:t>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</w:t>
      </w:r>
      <w:proofErr w:type="spellStart"/>
      <w:r w:rsidR="00E74E1C" w:rsidRPr="00125485">
        <w:rPr>
          <w:sz w:val="28"/>
          <w:szCs w:val="28"/>
        </w:rPr>
        <w:t>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</w:t>
      </w:r>
      <w:proofErr w:type="spellStart"/>
      <w:r w:rsidR="005A23F3" w:rsidRPr="00125485">
        <w:rPr>
          <w:sz w:val="28"/>
          <w:szCs w:val="28"/>
        </w:rPr>
        <w:t>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 xml:space="preserve">При заполнении кодовой зоны титульного </w:t>
      </w:r>
      <w:proofErr w:type="gramStart"/>
      <w:r w:rsidRPr="00125485">
        <w:rPr>
          <w:rFonts w:ascii="Times New Roman" w:hAnsi="Times New Roman"/>
          <w:sz w:val="28"/>
          <w:szCs w:val="28"/>
        </w:rPr>
        <w:t>листа</w:t>
      </w:r>
      <w:proofErr w:type="gramEnd"/>
      <w:r w:rsidRPr="00125485">
        <w:rPr>
          <w:rFonts w:ascii="Times New Roman" w:hAnsi="Times New Roman"/>
          <w:sz w:val="28"/>
          <w:szCs w:val="28"/>
        </w:rPr>
        <w:t xml:space="preserve">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375AA1" w:rsidRPr="00375AA1">
        <w:rPr>
          <w:rFonts w:ascii="Times New Roman" w:hAnsi="Times New Roman"/>
          <w:sz w:val="28"/>
          <w:szCs w:val="28"/>
        </w:rPr>
        <w:fldChar w:fldCharType="begin"/>
      </w:r>
      <w:r w:rsidR="00375AA1" w:rsidRPr="00375AA1">
        <w:rPr>
          <w:rFonts w:ascii="Times New Roman" w:hAnsi="Times New Roman"/>
          <w:sz w:val="28"/>
          <w:szCs w:val="28"/>
        </w:rPr>
        <w:instrText xml:space="preserve"> HYPERLINK "http://websbor.gks.ru/online/#!/gs/statistic-codes" </w:instrText>
      </w:r>
      <w:r w:rsidR="00375AA1" w:rsidRPr="00375AA1">
        <w:rPr>
          <w:rFonts w:ascii="Times New Roman" w:hAnsi="Times New Roman"/>
          <w:sz w:val="28"/>
          <w:szCs w:val="28"/>
        </w:rPr>
        <w:fldChar w:fldCharType="separate"/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http://websbor.gks.ru/online/#!/gs/sta</w:t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t</w:t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istic-</w:t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c</w:t>
      </w:r>
      <w:r w:rsidR="00375AA1" w:rsidRPr="00375AA1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odes</w:t>
      </w:r>
      <w:r w:rsidR="00375AA1" w:rsidRPr="00375AA1">
        <w:rPr>
          <w:rFonts w:ascii="Times New Roman" w:hAnsi="Times New Roman"/>
          <w:sz w:val="28"/>
          <w:szCs w:val="28"/>
        </w:rPr>
        <w:fldChar w:fldCharType="end"/>
      </w:r>
      <w:bookmarkEnd w:id="0"/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  <w:proofErr w:type="gramEnd"/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</w:t>
      </w:r>
      <w:proofErr w:type="gramStart"/>
      <w:r w:rsidR="00F81410" w:rsidRPr="00125485">
        <w:rPr>
          <w:sz w:val="28"/>
          <w:szCs w:val="28"/>
        </w:rPr>
        <w:t xml:space="preserve">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>дней по календарю</w:t>
      </w:r>
      <w:proofErr w:type="gramEnd"/>
      <w:r w:rsidR="00DD1E38" w:rsidRPr="00125485">
        <w:rPr>
          <w:sz w:val="28"/>
          <w:szCs w:val="28"/>
        </w:rPr>
        <w:t xml:space="preserve">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>:</w:t>
      </w:r>
      <w:proofErr w:type="gramEnd"/>
      <w:r w:rsidR="00A86D08" w:rsidRPr="00125485">
        <w:rPr>
          <w:sz w:val="28"/>
          <w:szCs w:val="28"/>
        </w:rPr>
        <w:t xml:space="preserve">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C60C7F" w:rsidRPr="00125485">
        <w:rPr>
          <w:sz w:val="28"/>
          <w:szCs w:val="28"/>
        </w:rPr>
        <w:t>:</w:t>
      </w:r>
      <w:proofErr w:type="gramEnd"/>
      <w:r w:rsidR="00C60C7F" w:rsidRPr="00125485">
        <w:rPr>
          <w:sz w:val="28"/>
          <w:szCs w:val="28"/>
        </w:rPr>
        <w:t xml:space="preserve">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proofErr w:type="gramStart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proofErr w:type="gramEnd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  <w:proofErr w:type="gramEnd"/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>, независимо от срока их фактической выплаты.</w:t>
      </w:r>
      <w:proofErr w:type="gramEnd"/>
      <w:r w:rsidRPr="00125485">
        <w:rPr>
          <w:sz w:val="28"/>
          <w:szCs w:val="28"/>
        </w:rPr>
        <w:t xml:space="preserve">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>на профессиональный доход», индивидуальным</w:t>
      </w:r>
      <w:proofErr w:type="gramEnd"/>
      <w:r w:rsidR="003731C7" w:rsidRPr="00125485">
        <w:rPr>
          <w:sz w:val="28"/>
          <w:szCs w:val="28"/>
        </w:rPr>
        <w:t xml:space="preserve">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</w:t>
      </w:r>
      <w:proofErr w:type="gramStart"/>
      <w:r w:rsidRPr="00125485">
        <w:rPr>
          <w:sz w:val="28"/>
          <w:szCs w:val="28"/>
        </w:rPr>
        <w:t xml:space="preserve"> Р</w:t>
      </w:r>
      <w:proofErr w:type="gramEnd"/>
      <w:r w:rsidRPr="00125485">
        <w:rPr>
          <w:sz w:val="28"/>
          <w:szCs w:val="28"/>
        </w:rPr>
        <w:t>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proofErr w:type="gramEnd"/>
      <w:r w:rsidR="007414B0" w:rsidRPr="00125485">
        <w:rPr>
          <w:sz w:val="28"/>
          <w:szCs w:val="28"/>
        </w:rPr>
        <w:t xml:space="preserve"> </w:t>
      </w:r>
      <w:proofErr w:type="gramStart"/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proofErr w:type="gramEnd"/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  <w:proofErr w:type="gramEnd"/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>их заполнения»;</w:t>
      </w:r>
      <w:proofErr w:type="gramEnd"/>
      <w:r w:rsidR="009B016F" w:rsidRPr="00125485">
        <w:rPr>
          <w:sz w:val="28"/>
          <w:szCs w:val="28"/>
        </w:rPr>
        <w:t xml:space="preserve">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  <w:proofErr w:type="gramEnd"/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</w:t>
      </w:r>
      <w:proofErr w:type="gramStart"/>
      <w:r w:rsidR="00746293" w:rsidRPr="00125485">
        <w:rPr>
          <w:sz w:val="28"/>
          <w:szCs w:val="28"/>
        </w:rPr>
        <w:t xml:space="preserve"> Р</w:t>
      </w:r>
      <w:proofErr w:type="gramEnd"/>
      <w:r w:rsidR="00746293" w:rsidRPr="00125485">
        <w:rPr>
          <w:sz w:val="28"/>
          <w:szCs w:val="28"/>
        </w:rPr>
        <w:t>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</w:t>
      </w:r>
      <w:proofErr w:type="gramStart"/>
      <w:r w:rsidR="009F7F9A" w:rsidRPr="00125485">
        <w:rPr>
          <w:sz w:val="28"/>
          <w:szCs w:val="28"/>
          <w:shd w:val="clear" w:color="auto" w:fill="FFFFFF"/>
        </w:rPr>
        <w:t>2</w:t>
      </w:r>
      <w:proofErr w:type="gramEnd"/>
      <w:r w:rsidR="009F7F9A" w:rsidRPr="00125485">
        <w:rPr>
          <w:sz w:val="28"/>
          <w:szCs w:val="28"/>
          <w:shd w:val="clear" w:color="auto" w:fill="FFFFFF"/>
        </w:rPr>
        <w:t xml:space="preserve">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телефона, через </w:t>
      </w:r>
      <w:proofErr w:type="gramStart"/>
      <w:r w:rsidRPr="00125485">
        <w:rPr>
          <w:sz w:val="28"/>
          <w:szCs w:val="28"/>
        </w:rPr>
        <w:t>Интернет-аукционы</w:t>
      </w:r>
      <w:proofErr w:type="gramEnd"/>
      <w:r w:rsidRPr="00125485">
        <w:rPr>
          <w:sz w:val="28"/>
          <w:szCs w:val="28"/>
        </w:rPr>
        <w:t>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125485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 xml:space="preserve">от своего имени или за агентское вознаграждение осуществлялась торговля. </w:t>
      </w:r>
      <w:proofErr w:type="gramStart"/>
      <w:r w:rsidRPr="00125485">
        <w:rPr>
          <w:sz w:val="28"/>
          <w:szCs w:val="28"/>
        </w:rPr>
        <w:t>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9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proofErr w:type="gramEnd"/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  <w:proofErr w:type="gramEnd"/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>.</w:t>
      </w:r>
      <w:proofErr w:type="gramEnd"/>
      <w:r w:rsidR="002069D4" w:rsidRPr="00125485">
        <w:rPr>
          <w:sz w:val="28"/>
          <w:szCs w:val="28"/>
        </w:rPr>
        <w:t xml:space="preserve">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D309A" w:rsidRPr="00125485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  <w:proofErr w:type="gramEnd"/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</w:t>
      </w: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>инвентаря, бухгалтерский учет которых осуществляется в порядке, установленном для</w:t>
      </w:r>
      <w:proofErr w:type="gramEnd"/>
      <w:r w:rsidR="00D25745" w:rsidRPr="00125485">
        <w:rPr>
          <w:sz w:val="28"/>
          <w:szCs w:val="28"/>
        </w:rPr>
        <w:t xml:space="preserve">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 xml:space="preserve">ОКОФ </w:t>
      </w:r>
      <w:proofErr w:type="gramStart"/>
      <w:r w:rsidR="00196432" w:rsidRPr="00125485">
        <w:rPr>
          <w:sz w:val="28"/>
          <w:szCs w:val="28"/>
        </w:rPr>
        <w:t>ОК</w:t>
      </w:r>
      <w:proofErr w:type="gramEnd"/>
      <w:r w:rsidR="00196432" w:rsidRPr="00125485">
        <w:rPr>
          <w:sz w:val="28"/>
          <w:szCs w:val="28"/>
        </w:rPr>
        <w:t xml:space="preserve">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>завершенный объе</w:t>
      </w:r>
      <w:proofErr w:type="gramStart"/>
      <w:r w:rsidRPr="00125485">
        <w:rPr>
          <w:sz w:val="28"/>
          <w:szCs w:val="28"/>
        </w:rPr>
        <w:t>кт вкл</w:t>
      </w:r>
      <w:proofErr w:type="gramEnd"/>
      <w:r w:rsidRPr="00125485">
        <w:rPr>
          <w:sz w:val="28"/>
          <w:szCs w:val="28"/>
        </w:rPr>
        <w:t xml:space="preserve">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</w:t>
      </w:r>
      <w:proofErr w:type="gramEnd"/>
      <w:r w:rsidRPr="00125485">
        <w:rPr>
          <w:sz w:val="28"/>
          <w:szCs w:val="28"/>
        </w:rPr>
        <w:t xml:space="preserve"> </w:t>
      </w:r>
      <w:proofErr w:type="gramStart"/>
      <w:r w:rsidRPr="00125485">
        <w:rPr>
          <w:sz w:val="28"/>
          <w:szCs w:val="28"/>
        </w:rPr>
        <w:t>соответствии</w:t>
      </w:r>
      <w:proofErr w:type="gramEnd"/>
      <w:r w:rsidRPr="00125485">
        <w:rPr>
          <w:sz w:val="28"/>
          <w:szCs w:val="28"/>
        </w:rPr>
        <w:t xml:space="preserve">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</w:t>
      </w:r>
      <w:proofErr w:type="gramStart"/>
      <w:r w:rsidRPr="00125485">
        <w:rPr>
          <w:sz w:val="28"/>
          <w:szCs w:val="28"/>
        </w:rPr>
        <w:t>дств ст</w:t>
      </w:r>
      <w:proofErr w:type="gramEnd"/>
      <w:r w:rsidRPr="00125485">
        <w:rPr>
          <w:sz w:val="28"/>
          <w:szCs w:val="28"/>
        </w:rPr>
        <w:t>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</w:t>
      </w:r>
      <w:proofErr w:type="gramStart"/>
      <w:r w:rsidRPr="00125485">
        <w:rPr>
          <w:sz w:val="28"/>
          <w:szCs w:val="28"/>
        </w:rPr>
        <w:t>кроме</w:t>
      </w:r>
      <w:proofErr w:type="gramEnd"/>
      <w:r w:rsidRPr="00125485">
        <w:rPr>
          <w:sz w:val="28"/>
          <w:szCs w:val="28"/>
        </w:rPr>
        <w:t xml:space="preserve">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</w:t>
      </w:r>
      <w:proofErr w:type="gramEnd"/>
      <w:r w:rsidR="00F52DC9" w:rsidRPr="00125485">
        <w:rPr>
          <w:sz w:val="28"/>
          <w:szCs w:val="28"/>
        </w:rPr>
        <w:t xml:space="preserve">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  <w:proofErr w:type="gramEnd"/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  <w:proofErr w:type="gramEnd"/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</w:t>
      </w:r>
      <w:proofErr w:type="gramEnd"/>
      <w:r w:rsidRPr="00125485">
        <w:rPr>
          <w:sz w:val="28"/>
          <w:szCs w:val="28"/>
        </w:rPr>
        <w:t xml:space="preserve">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распоряжении Вашей организации </w:t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собственные</w:t>
      </w:r>
      <w:proofErr w:type="gramEnd"/>
      <w:r w:rsidRPr="00125485">
        <w:rPr>
          <w:sz w:val="28"/>
          <w:szCs w:val="28"/>
        </w:rPr>
        <w:t xml:space="preserve">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используемые</w:t>
      </w:r>
      <w:proofErr w:type="gramEnd"/>
      <w:r w:rsidRPr="00125485">
        <w:rPr>
          <w:sz w:val="28"/>
          <w:szCs w:val="28"/>
        </w:rPr>
        <w:t xml:space="preserve">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125485">
        <w:rPr>
          <w:sz w:val="28"/>
          <w:szCs w:val="28"/>
        </w:rPr>
        <w:t xml:space="preserve">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  <w:proofErr w:type="gramEnd"/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  <w:proofErr w:type="gramEnd"/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F6" w:rsidRDefault="004434F6" w:rsidP="003D1870">
      <w:r>
        <w:separator/>
      </w:r>
    </w:p>
  </w:endnote>
  <w:endnote w:type="continuationSeparator" w:id="0">
    <w:p w:rsidR="004434F6" w:rsidRDefault="004434F6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F6" w:rsidRDefault="004434F6" w:rsidP="003D1870">
      <w:r>
        <w:separator/>
      </w:r>
    </w:p>
  </w:footnote>
  <w:footnote w:type="continuationSeparator" w:id="0">
    <w:p w:rsidR="004434F6" w:rsidRDefault="004434F6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proofErr w:type="gramStart"/>
      <w:r w:rsidRPr="00205994">
        <w:rPr>
          <w:rFonts w:ascii="Times New Roman CYR" w:hAnsi="Times New Roman CYR" w:cs="Times New Roman CYR"/>
        </w:rPr>
        <w:t>ОК</w:t>
      </w:r>
      <w:proofErr w:type="gramEnd"/>
      <w:r w:rsidRPr="00205994">
        <w:rPr>
          <w:rFonts w:ascii="Times New Roman CYR" w:hAnsi="Times New Roman CYR" w:cs="Times New Roman CYR"/>
        </w:rPr>
        <w:t xml:space="preserve">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375AA1">
      <w:rPr>
        <w:rStyle w:val="a5"/>
        <w:rFonts w:ascii="Times New Roman" w:hAnsi="Times New Roman"/>
        <w:noProof/>
      </w:rPr>
      <w:t>2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mall_busines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C402-B1F9-40A3-89B2-7724709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31</Pages>
  <Words>6507</Words>
  <Characters>47443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53843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Каторгина Людмила Константиновна</cp:lastModifiedBy>
  <cp:revision>402</cp:revision>
  <cp:lastPrinted>2020-08-17T11:52:00Z</cp:lastPrinted>
  <dcterms:created xsi:type="dcterms:W3CDTF">2020-03-18T06:08:00Z</dcterms:created>
  <dcterms:modified xsi:type="dcterms:W3CDTF">2020-08-20T09:34:00Z</dcterms:modified>
</cp:coreProperties>
</file>